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0B" w:rsidRPr="00412C0B" w:rsidRDefault="00412C0B" w:rsidP="00412C0B">
      <w:pPr>
        <w:pStyle w:val="1"/>
        <w:numPr>
          <w:ilvl w:val="0"/>
          <w:numId w:val="0"/>
        </w:numPr>
        <w:spacing w:before="240"/>
        <w:ind w:left="360" w:firstLine="207"/>
        <w:rPr>
          <w:rFonts w:ascii="Times New Roman" w:eastAsia="Arial Unicode MS" w:hAnsi="Times New Roman"/>
          <w:sz w:val="24"/>
          <w:szCs w:val="24"/>
          <w:lang w:val="ru-RU"/>
        </w:rPr>
      </w:pPr>
      <w:r w:rsidRPr="00412C0B">
        <w:rPr>
          <w:rFonts w:ascii="Times New Roman" w:eastAsia="Arial Unicode MS" w:hAnsi="Times New Roman"/>
          <w:sz w:val="24"/>
          <w:szCs w:val="24"/>
          <w:lang w:val="ru-RU"/>
        </w:rPr>
        <w:t>Операции со связанными сторонами</w:t>
      </w:r>
    </w:p>
    <w:p w:rsidR="00412C0B" w:rsidRPr="00412C0B" w:rsidRDefault="00412C0B" w:rsidP="00412C0B">
      <w:pPr>
        <w:pStyle w:val="ABC-paragrahinNotes"/>
        <w:ind w:firstLine="567"/>
        <w:rPr>
          <w:rFonts w:ascii="Times New Roman" w:eastAsia="Arial Unicode MS" w:hAnsi="Times New Roman"/>
          <w:sz w:val="24"/>
          <w:szCs w:val="24"/>
          <w:lang w:val="ru-RU"/>
        </w:rPr>
      </w:pPr>
      <w:r w:rsidRPr="00412C0B">
        <w:rPr>
          <w:rFonts w:ascii="Times New Roman" w:hAnsi="Times New Roman"/>
          <w:sz w:val="24"/>
          <w:szCs w:val="24"/>
          <w:lang w:val="ru-RU"/>
        </w:rPr>
        <w:t xml:space="preserve"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форма. </w:t>
      </w:r>
    </w:p>
    <w:p w:rsidR="00412C0B" w:rsidRPr="00412C0B" w:rsidRDefault="00412C0B" w:rsidP="00412C0B">
      <w:pPr>
        <w:spacing w:after="24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C0B">
        <w:rPr>
          <w:rFonts w:ascii="Times New Roman" w:hAnsi="Times New Roman"/>
          <w:sz w:val="24"/>
          <w:szCs w:val="24"/>
          <w:lang w:val="ru-RU"/>
        </w:rPr>
        <w:t>Ниже указаны остатки на 31 декабря 2021 года по операциям со связанными сторонами:</w:t>
      </w:r>
      <w:bookmarkStart w:id="0" w:name="_GoBack"/>
      <w:bookmarkEnd w:id="0"/>
    </w:p>
    <w:tbl>
      <w:tblPr>
        <w:tblW w:w="93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1507"/>
        <w:gridCol w:w="1418"/>
        <w:gridCol w:w="1418"/>
      </w:tblGrid>
      <w:tr w:rsidR="00412C0B" w:rsidRPr="00412C0B" w:rsidTr="00EB2A6F">
        <w:trPr>
          <w:trHeight w:val="202"/>
          <w:tblHeader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RRthousands"/>
              <w:keepNext/>
              <w:ind w:lef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C0B">
              <w:rPr>
                <w:rFonts w:ascii="Times New Roman" w:eastAsia="Arial Unicode MS" w:hAnsi="Times New Roman" w:cs="Times New Roman"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Компании под общим контролем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связанные стороны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keepNext/>
              <w:keepLines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Денежные средства и их эквиваленты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301,28</w:t>
            </w:r>
            <w:r w:rsidRPr="00412C0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2,361,62</w:t>
            </w:r>
            <w:r w:rsidRPr="00412C0B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(4.93%-7.68%)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934,811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Инвестиционные долговые ценные бумаги, оцениваемые по справедливой стоимости через прочий совокупный доход 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37,050,145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Дебиторская задолженность по программам суюсидирования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10,414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Предоплата текущих обязательств по налогу на прибыль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15%)</w:t>
            </w:r>
          </w:p>
        </w:tc>
        <w:tc>
          <w:tcPr>
            <w:tcW w:w="1507" w:type="dxa"/>
            <w:vAlign w:val="bottom"/>
          </w:tcPr>
          <w:p w:rsidR="00412C0B" w:rsidRPr="00412C0B" w:rsidDel="00C466AD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Del="00C466AD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3,357,383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Отложенный налоговый актив 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20%)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3,132,896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финансовые активы 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212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активы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661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tabs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297,771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Заемные средства</w:t>
            </w:r>
          </w:p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spacing w:val="-4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0.1% – 5.5%)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96,380,615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Del="004B5485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72,921,914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Обязательства по программам субсидирования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2,235,059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финансовые обязательства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1,427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обязательства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Del="004B5485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98,873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53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hRule="exact" w:val="86"/>
        </w:trPr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84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412C0B" w:rsidRPr="00412C0B" w:rsidRDefault="00412C0B" w:rsidP="00412C0B">
      <w:pPr>
        <w:tabs>
          <w:tab w:val="right" w:pos="9214"/>
        </w:tabs>
        <w:spacing w:before="240"/>
        <w:rPr>
          <w:rFonts w:ascii="Times New Roman" w:hAnsi="Times New Roman"/>
          <w:sz w:val="20"/>
          <w:lang w:val="ru-RU"/>
        </w:rPr>
      </w:pPr>
    </w:p>
    <w:p w:rsidR="00412C0B" w:rsidRPr="00412C0B" w:rsidRDefault="00412C0B" w:rsidP="00412C0B">
      <w:pPr>
        <w:tabs>
          <w:tab w:val="right" w:pos="9214"/>
        </w:tabs>
        <w:spacing w:after="24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2C0B">
        <w:rPr>
          <w:rFonts w:ascii="Times New Roman" w:hAnsi="Times New Roman"/>
          <w:sz w:val="24"/>
          <w:szCs w:val="24"/>
          <w:lang w:val="ru-RU"/>
        </w:rPr>
        <w:t>Ниже указаны статьи доходов и расходов по операциям со связанными сторонами за 2021 год: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412C0B" w:rsidRPr="00412C0B" w:rsidTr="00EB2A6F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i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</w:tabs>
              <w:spacing w:line="240" w:lineRule="auto"/>
              <w:ind w:right="120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связанные стороны</w:t>
            </w:r>
          </w:p>
        </w:tc>
      </w:tr>
      <w:tr w:rsidR="00412C0B" w:rsidRPr="00412C0B" w:rsidTr="00EB2A6F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c>
          <w:tcPr>
            <w:tcW w:w="4127" w:type="dxa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2,730,337</w:t>
            </w:r>
          </w:p>
        </w:tc>
      </w:tr>
      <w:tr w:rsidR="00412C0B" w:rsidRPr="00412C0B" w:rsidTr="00EB2A6F">
        <w:tc>
          <w:tcPr>
            <w:tcW w:w="4127" w:type="dxa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(6,147,221)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(2,803)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(1,070,385)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Расходы за вычетом доходов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412C0B" w:rsidRPr="00412C0B" w:rsidDel="00C466AD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Del="00C466AD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36,705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Чистые комиссионные доходы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625,600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Доходы за вычетом расходов/(расходы за вычетом доходов) по операциям с иностранной валютой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45,766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lastRenderedPageBreak/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</w:rPr>
            </w:pPr>
            <w:r w:rsidRPr="00412C0B">
              <w:rPr>
                <w:rFonts w:ascii="Times New Roman" w:hAnsi="Times New Roman"/>
                <w:b w:val="0"/>
                <w:sz w:val="20"/>
              </w:rPr>
              <w:t>(69)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(58,175)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b w:val="0"/>
                <w:sz w:val="20"/>
              </w:rPr>
              <w:t>145,148</w:t>
            </w: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)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kk-KZ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 xml:space="preserve">Прочие операционные </w:t>
            </w:r>
            <w:r w:rsidRPr="00412C0B">
              <w:rPr>
                <w:rFonts w:ascii="Times New Roman" w:hAnsi="Times New Roman"/>
                <w:b w:val="0"/>
                <w:smallCaps w:val="0"/>
                <w:lang w:val="kk-KZ"/>
              </w:rPr>
              <w:t>доходы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10,257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(5,548,645)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Прочие доходы/расходы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2,126</w:t>
            </w:r>
          </w:p>
        </w:tc>
      </w:tr>
      <w:tr w:rsidR="00412C0B" w:rsidRPr="00412C0B" w:rsidTr="00EB2A6F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412C0B" w:rsidRPr="00412C0B" w:rsidRDefault="00412C0B" w:rsidP="00412C0B">
      <w:pPr>
        <w:tabs>
          <w:tab w:val="right" w:pos="9214"/>
        </w:tabs>
        <w:spacing w:before="240" w:after="240"/>
        <w:rPr>
          <w:rFonts w:ascii="Times New Roman" w:hAnsi="Times New Roman"/>
          <w:sz w:val="20"/>
          <w:lang w:val="ru-RU"/>
        </w:rPr>
      </w:pPr>
    </w:p>
    <w:p w:rsidR="00412C0B" w:rsidRPr="00412C0B" w:rsidRDefault="00412C0B" w:rsidP="00412C0B">
      <w:pPr>
        <w:tabs>
          <w:tab w:val="right" w:pos="9214"/>
        </w:tabs>
        <w:spacing w:before="240" w:after="240"/>
        <w:rPr>
          <w:rFonts w:ascii="Times New Roman" w:hAnsi="Times New Roman"/>
          <w:sz w:val="20"/>
          <w:lang w:val="ru-RU"/>
        </w:rPr>
      </w:pPr>
    </w:p>
    <w:p w:rsidR="00412C0B" w:rsidRPr="00412C0B" w:rsidRDefault="00412C0B" w:rsidP="00412C0B">
      <w:pPr>
        <w:pStyle w:val="Continued"/>
        <w:ind w:left="142" w:firstLine="425"/>
        <w:rPr>
          <w:rFonts w:ascii="Times New Roman" w:eastAsia="Arial Unicode MS" w:hAnsi="Times New Roman"/>
          <w:sz w:val="24"/>
          <w:szCs w:val="24"/>
          <w:lang w:val="ru-RU"/>
        </w:rPr>
      </w:pPr>
      <w:r w:rsidRPr="00412C0B">
        <w:rPr>
          <w:rFonts w:ascii="Times New Roman" w:eastAsia="Arial Unicode MS" w:hAnsi="Times New Roman"/>
          <w:sz w:val="24"/>
          <w:szCs w:val="24"/>
          <w:lang w:val="ru-RU"/>
        </w:rPr>
        <w:lastRenderedPageBreak/>
        <w:t>Операции со связанными сторонами (продолжение)</w:t>
      </w:r>
    </w:p>
    <w:p w:rsidR="00412C0B" w:rsidRPr="00412C0B" w:rsidRDefault="00412C0B" w:rsidP="00412C0B">
      <w:pPr>
        <w:spacing w:before="240" w:after="240"/>
        <w:ind w:left="142" w:firstLine="425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412C0B">
        <w:rPr>
          <w:rFonts w:ascii="Times New Roman" w:eastAsia="Arial Unicode MS" w:hAnsi="Times New Roman"/>
          <w:sz w:val="24"/>
          <w:szCs w:val="24"/>
          <w:lang w:val="ru-RU"/>
        </w:rPr>
        <w:t xml:space="preserve">Ниже указаны остатки на 31 декабря 2020 года по операциям со связанными сторонами: </w:t>
      </w:r>
    </w:p>
    <w:tbl>
      <w:tblPr>
        <w:tblW w:w="93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1507"/>
        <w:gridCol w:w="1418"/>
        <w:gridCol w:w="1418"/>
      </w:tblGrid>
      <w:tr w:rsidR="00412C0B" w:rsidRPr="00412C0B" w:rsidTr="00EB2A6F">
        <w:trPr>
          <w:trHeight w:val="202"/>
          <w:tblHeader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RRthousands"/>
              <w:keepNext/>
              <w:ind w:lef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C0B">
              <w:rPr>
                <w:rFonts w:ascii="Times New Roman" w:eastAsia="Arial Unicode MS" w:hAnsi="Times New Roman" w:cs="Times New Roman"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Единственный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Компании под общим контролем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связанные стороны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keepNext/>
              <w:keepLines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Денежные средства и их эквиваленты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366,260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15,187,568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Инвестиционные долговые ценные бумаги, оцениваемые по справедливой стоимости через прибыль или убыток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(4.93%-7.68%)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1,405,461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Инвестиционные долговые ценные бумаги, оцениваемые по справедливой стоимости через прочий совокупный доход 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13,308,512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Средства в финансовых учреждениях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1%-8.5%)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8,952,492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Предоплата текущих обязательств по налогу на прибыль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15%)</w:t>
            </w:r>
          </w:p>
        </w:tc>
        <w:tc>
          <w:tcPr>
            <w:tcW w:w="1507" w:type="dxa"/>
            <w:vAlign w:val="bottom"/>
          </w:tcPr>
          <w:p w:rsidR="00412C0B" w:rsidRPr="00412C0B" w:rsidDel="00C466AD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Del="00C466AD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7,430,331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Отложенный налоговый актив 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20%)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2,978,187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финансовые активы 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процентная ставка: 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активы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tabs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459,691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Заемные средства</w:t>
            </w:r>
          </w:p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spacing w:val="-4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0.1% – 5.5%)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90,549,594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Del="004B5485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85,275,311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Обязательства по программам субсидирования</w:t>
            </w:r>
          </w:p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(</w:t>
            </w:r>
            <w:r w:rsidRPr="00412C0B">
              <w:rPr>
                <w:rFonts w:ascii="Times New Roman" w:hAnsi="Times New Roman"/>
                <w:spacing w:val="-4"/>
                <w:sz w:val="20"/>
                <w:lang w:val="ru-RU"/>
              </w:rPr>
              <w:t>договорная процентная ставка: 0%)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5,670,743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финансовые обязательства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71,430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обязательства</w:t>
            </w: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412C0B" w:rsidRPr="00412C0B" w:rsidDel="004B5485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357,614</w:t>
            </w:r>
          </w:p>
        </w:tc>
      </w:tr>
      <w:tr w:rsidR="00412C0B" w:rsidRPr="00412C0B" w:rsidTr="00EB2A6F">
        <w:trPr>
          <w:trHeight w:val="202"/>
        </w:trPr>
        <w:tc>
          <w:tcPr>
            <w:tcW w:w="504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53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hRule="exact" w:val="86"/>
        </w:trPr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08"/>
                <w:tab w:val="decimal" w:pos="1384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412C0B" w:rsidRPr="00412C0B" w:rsidRDefault="00412C0B" w:rsidP="00412C0B">
      <w:pPr>
        <w:spacing w:before="240" w:after="24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12C0B">
        <w:rPr>
          <w:rFonts w:ascii="Times New Roman" w:hAnsi="Times New Roman"/>
          <w:sz w:val="24"/>
          <w:szCs w:val="24"/>
          <w:lang w:val="ru-RU"/>
        </w:rPr>
        <w:t xml:space="preserve">Ниже указаны статьи доходов и расходов по операциям со связанными сторонами за 2020 год: 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412C0B" w:rsidRPr="00412C0B" w:rsidTr="00EB2A6F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i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Единственный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Компании под общим контролем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</w:tabs>
              <w:spacing w:line="240" w:lineRule="auto"/>
              <w:ind w:right="120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Прочие связанные стороны</w:t>
            </w:r>
          </w:p>
        </w:tc>
      </w:tr>
      <w:tr w:rsidR="00412C0B" w:rsidRPr="00412C0B" w:rsidTr="00EB2A6F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c>
          <w:tcPr>
            <w:tcW w:w="4127" w:type="dxa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Процентные доходы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1,188,359</w:t>
            </w:r>
          </w:p>
        </w:tc>
      </w:tr>
      <w:tr w:rsidR="00412C0B" w:rsidRPr="00412C0B" w:rsidTr="00EB2A6F">
        <w:tc>
          <w:tcPr>
            <w:tcW w:w="4127" w:type="dxa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Процентные расходы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(6,006,567)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(7,774)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(1,082,792)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Расходы за вычетом доходов от переоценки ценных бумаг, оцениваемых по справедливой стоимости через прибыль или убыток</w:t>
            </w:r>
          </w:p>
        </w:tc>
        <w:tc>
          <w:tcPr>
            <w:tcW w:w="1740" w:type="dxa"/>
            <w:vAlign w:val="bottom"/>
          </w:tcPr>
          <w:p w:rsidR="00412C0B" w:rsidRPr="00412C0B" w:rsidDel="00C466AD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Del="00C466AD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32,388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Чистые комиссионные доходы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828,560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Восстановление оценочного резерва под кредитные убытки по средствам в финансовых учреждениям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Чистый убыток, возникающий при первоначальном признании активов по ставкам ниже рыночных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Восстановление резерв под обесценение обязательств кредитного характера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(123,253)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Административные и прочие операционные расходы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(50,495)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(152,021)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kk-KZ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 xml:space="preserve">Прочие операционные </w:t>
            </w:r>
            <w:r w:rsidRPr="00412C0B">
              <w:rPr>
                <w:rFonts w:ascii="Times New Roman" w:hAnsi="Times New Roman"/>
                <w:b w:val="0"/>
                <w:smallCaps w:val="0"/>
                <w:lang w:val="kk-KZ"/>
              </w:rPr>
              <w:t>доходы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</w:tr>
      <w:tr w:rsidR="00412C0B" w:rsidRPr="00412C0B" w:rsidTr="00EB2A6F">
        <w:tc>
          <w:tcPr>
            <w:tcW w:w="4127" w:type="dxa"/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mallCaps w:val="0"/>
                <w:lang w:val="ru-RU"/>
              </w:rPr>
              <w:t>Расходы по налогу на прибыль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 w:val="0"/>
                <w:sz w:val="20"/>
                <w:lang w:val="ru-RU"/>
              </w:rPr>
              <w:t>(1,425,201)</w:t>
            </w:r>
          </w:p>
        </w:tc>
      </w:tr>
      <w:tr w:rsidR="00412C0B" w:rsidRPr="00412C0B" w:rsidTr="00EB2A6F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ABCTitle"/>
              <w:keepNext w:val="0"/>
              <w:spacing w:before="0"/>
              <w:ind w:left="144" w:hanging="86"/>
              <w:rPr>
                <w:rFonts w:ascii="Times New Roman" w:hAnsi="Times New Roman"/>
                <w:b w:val="0"/>
                <w:smallCaps w:val="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29"/>
              <w:rPr>
                <w:rFonts w:ascii="Times New Roman" w:hAnsi="Times New Roman"/>
                <w:b w:val="0"/>
                <w:sz w:val="2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412C0B" w:rsidRPr="00412C0B" w:rsidRDefault="00412C0B" w:rsidP="00412C0B">
      <w:pPr>
        <w:pStyle w:val="ABC-paragrahinNotes"/>
        <w:spacing w:before="240" w:after="0"/>
        <w:rPr>
          <w:rFonts w:ascii="Times New Roman" w:hAnsi="Times New Roman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i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202</w:t>
            </w:r>
            <w:r w:rsidRPr="00412C0B">
              <w:rPr>
                <w:rFonts w:ascii="Times New Roman" w:hAnsi="Times New Roman"/>
                <w:sz w:val="20"/>
                <w:lang w:val="en-US"/>
              </w:rPr>
              <w:t>1</w:t>
            </w:r>
            <w:r w:rsidRPr="00412C0B">
              <w:rPr>
                <w:rFonts w:ascii="Times New Roman" w:hAnsi="Times New Roman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20</w:t>
            </w:r>
            <w:r w:rsidRPr="00412C0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12C0B">
              <w:rPr>
                <w:rFonts w:ascii="Times New Roman" w:hAnsi="Times New Roman"/>
                <w:sz w:val="20"/>
                <w:lang w:val="ru-RU"/>
              </w:rPr>
              <w:t xml:space="preserve"> г.</w:t>
            </w: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Сумма кредитов, предоставленных связанным сторонам в течение года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</w:rPr>
            </w:pPr>
            <w:r w:rsidRPr="00412C0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Сумма кредитов, погашенных связанными сторонами в течение года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</w:rPr>
            </w:pPr>
            <w:r w:rsidRPr="00412C0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5,044,027</w:t>
            </w:r>
          </w:p>
        </w:tc>
      </w:tr>
      <w:tr w:rsidR="00412C0B" w:rsidRPr="00412C0B" w:rsidTr="00EB2A6F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412C0B" w:rsidRPr="00412C0B" w:rsidRDefault="00412C0B" w:rsidP="00412C0B">
      <w:pPr>
        <w:pageBreakBefore/>
        <w:spacing w:before="240" w:after="240"/>
        <w:ind w:left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2C0B">
        <w:rPr>
          <w:rFonts w:ascii="Times New Roman" w:eastAsia="Arial Unicode MS" w:hAnsi="Times New Roman"/>
          <w:b/>
          <w:sz w:val="24"/>
          <w:szCs w:val="24"/>
          <w:lang w:val="ru-RU"/>
        </w:rPr>
        <w:lastRenderedPageBreak/>
        <w:t>Операции со связанными сторонами (продолжение)</w:t>
      </w:r>
    </w:p>
    <w:p w:rsidR="00412C0B" w:rsidRPr="00412C0B" w:rsidRDefault="00412C0B" w:rsidP="00412C0B">
      <w:pPr>
        <w:pStyle w:val="ABC-paragrahinNotes"/>
        <w:widowControl w:val="0"/>
        <w:spacing w:before="240"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2C0B">
        <w:rPr>
          <w:rFonts w:ascii="Times New Roman" w:hAnsi="Times New Roman"/>
          <w:sz w:val="24"/>
          <w:szCs w:val="24"/>
          <w:lang w:val="ru-RU"/>
        </w:rPr>
        <w:t xml:space="preserve">Операции со связанными сторонами без обеспечения. Балансы со связанными сторонами не являются кредитно-обесцененными. </w:t>
      </w:r>
    </w:p>
    <w:p w:rsidR="00412C0B" w:rsidRPr="00412C0B" w:rsidRDefault="00412C0B" w:rsidP="00412C0B">
      <w:pPr>
        <w:pStyle w:val="ABC-paragrahinNotes"/>
        <w:widowControl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2C0B">
        <w:rPr>
          <w:rFonts w:ascii="Times New Roman" w:hAnsi="Times New Roman"/>
          <w:i/>
          <w:sz w:val="24"/>
          <w:szCs w:val="24"/>
          <w:lang w:val="ru-RU"/>
        </w:rPr>
        <w:t>Вознаграждение ключевого управленческого персонала.</w:t>
      </w:r>
      <w:r w:rsidRPr="00412C0B">
        <w:rPr>
          <w:rFonts w:ascii="Times New Roman" w:hAnsi="Times New Roman"/>
          <w:sz w:val="24"/>
          <w:szCs w:val="24"/>
          <w:lang w:val="ru-RU"/>
        </w:rPr>
        <w:t xml:space="preserve"> В состав ключевого управленческого персонала входят следующие лица: члены Совета директоров, члены Правления, Управляющие директора и Руководитель аппарата.</w:t>
      </w:r>
    </w:p>
    <w:p w:rsidR="00412C0B" w:rsidRPr="00412C0B" w:rsidRDefault="00412C0B" w:rsidP="00412C0B">
      <w:pPr>
        <w:pStyle w:val="ABC-paragrahinNotes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12C0B">
        <w:rPr>
          <w:rFonts w:ascii="Times New Roman" w:hAnsi="Times New Roman"/>
          <w:sz w:val="24"/>
          <w:szCs w:val="24"/>
          <w:lang w:val="ru-RU"/>
        </w:rPr>
        <w:t>Ниже представлена информация о выплатах вознаграждения ключевому руководству:</w:t>
      </w:r>
    </w:p>
    <w:p w:rsidR="00412C0B" w:rsidRPr="00412C0B" w:rsidRDefault="00412C0B" w:rsidP="00412C0B">
      <w:pPr>
        <w:pStyle w:val="ABC-paragrahinNotes"/>
        <w:spacing w:before="240" w:after="0"/>
        <w:rPr>
          <w:rFonts w:ascii="Times New Roman" w:hAnsi="Times New Roman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i/>
                <w:sz w:val="20"/>
                <w:lang w:val="ru-RU"/>
              </w:rPr>
              <w:t>(в тысячах казахстанских тенге)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20</w:t>
            </w:r>
            <w:r w:rsidRPr="00412C0B">
              <w:rPr>
                <w:rFonts w:ascii="Times New Roman" w:hAnsi="Times New Roman"/>
                <w:sz w:val="20"/>
              </w:rPr>
              <w:t>21</w:t>
            </w:r>
            <w:r w:rsidRPr="00412C0B">
              <w:rPr>
                <w:rFonts w:ascii="Times New Roman" w:hAnsi="Times New Roman"/>
                <w:sz w:val="20"/>
                <w:lang w:val="ru-RU"/>
              </w:rPr>
              <w:t xml:space="preserve"> г.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20</w:t>
            </w:r>
            <w:r w:rsidRPr="00412C0B">
              <w:rPr>
                <w:rFonts w:ascii="Times New Roman" w:hAnsi="Times New Roman"/>
                <w:sz w:val="20"/>
                <w:lang w:val="en-US"/>
              </w:rPr>
              <w:t>20</w:t>
            </w:r>
            <w:r w:rsidRPr="00412C0B">
              <w:rPr>
                <w:rFonts w:ascii="Times New Roman" w:hAnsi="Times New Roman"/>
                <w:sz w:val="20"/>
                <w:lang w:val="ru-RU"/>
              </w:rPr>
              <w:t xml:space="preserve"> г.</w:t>
            </w: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i/>
                <w:sz w:val="20"/>
                <w:lang w:val="ru-RU"/>
              </w:rPr>
              <w:t>Краткосрочные выплаты: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 Заработная плата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234,414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216,240</w:t>
            </w: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 Краткосрочные премиальные выплаты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67,935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70,423</w:t>
            </w: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- Выплаты в неденежной форме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2,740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sz w:val="20"/>
                <w:lang w:val="ru-RU"/>
              </w:rPr>
              <w:t>11,908</w:t>
            </w:r>
          </w:p>
        </w:tc>
      </w:tr>
      <w:tr w:rsidR="00412C0B" w:rsidRPr="00412C0B" w:rsidTr="00EB2A6F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2C0B" w:rsidRPr="00412C0B" w:rsidTr="00EB2A6F">
        <w:trPr>
          <w:trHeight w:val="202"/>
        </w:trPr>
        <w:tc>
          <w:tcPr>
            <w:tcW w:w="5760" w:type="dxa"/>
            <w:vAlign w:val="bottom"/>
          </w:tcPr>
          <w:p w:rsidR="00412C0B" w:rsidRPr="00412C0B" w:rsidRDefault="00412C0B" w:rsidP="00EB2A6F">
            <w:pPr>
              <w:pStyle w:val="Tabletext"/>
              <w:ind w:left="144" w:hanging="86"/>
              <w:rPr>
                <w:rFonts w:ascii="Times New Roman" w:hAnsi="Times New Roman"/>
                <w:b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/>
                <w:sz w:val="20"/>
                <w:lang w:val="ru-RU"/>
              </w:rPr>
              <w:t>Итого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b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/>
                <w:sz w:val="20"/>
                <w:lang w:val="ru-RU"/>
              </w:rPr>
              <w:t>305,089</w:t>
            </w:r>
          </w:p>
        </w:tc>
        <w:tc>
          <w:tcPr>
            <w:tcW w:w="1800" w:type="dxa"/>
            <w:vAlign w:val="bottom"/>
          </w:tcPr>
          <w:p w:rsidR="00412C0B" w:rsidRPr="00412C0B" w:rsidRDefault="00412C0B" w:rsidP="00EB2A6F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ascii="Times New Roman" w:hAnsi="Times New Roman"/>
                <w:b/>
                <w:sz w:val="20"/>
                <w:lang w:val="ru-RU"/>
              </w:rPr>
            </w:pPr>
            <w:r w:rsidRPr="00412C0B">
              <w:rPr>
                <w:rFonts w:ascii="Times New Roman" w:hAnsi="Times New Roman"/>
                <w:b/>
                <w:sz w:val="20"/>
                <w:lang w:val="ru-RU"/>
              </w:rPr>
              <w:t>298,571</w:t>
            </w:r>
          </w:p>
        </w:tc>
      </w:tr>
      <w:tr w:rsidR="00412C0B" w:rsidRPr="00412C0B" w:rsidTr="00EB2A6F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text"/>
              <w:keepNext/>
              <w:keepLines/>
              <w:ind w:left="144" w:hanging="86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412C0B" w:rsidRPr="00412C0B" w:rsidRDefault="00412C0B" w:rsidP="00EB2A6F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9"/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E9597F" w:rsidRPr="00412C0B" w:rsidRDefault="00E9597F" w:rsidP="00412C0B">
      <w:pPr>
        <w:pStyle w:val="1"/>
        <w:numPr>
          <w:ilvl w:val="0"/>
          <w:numId w:val="0"/>
        </w:numPr>
        <w:spacing w:before="360"/>
        <w:ind w:left="360"/>
        <w:rPr>
          <w:rFonts w:ascii="Times New Roman" w:hAnsi="Times New Roman"/>
          <w:lang w:val="ru-RU"/>
        </w:rPr>
      </w:pPr>
    </w:p>
    <w:sectPr w:rsidR="00E9597F" w:rsidRPr="00412C0B" w:rsidSect="00F63C09">
      <w:pgSz w:w="11907" w:h="16840" w:code="9"/>
      <w:pgMar w:top="1138" w:right="994" w:bottom="1138" w:left="1555" w:header="737" w:footer="52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333"/>
    <w:multiLevelType w:val="multilevel"/>
    <w:tmpl w:val="B6AC801C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0B"/>
    <w:rsid w:val="00412C0B"/>
    <w:rsid w:val="00773725"/>
    <w:rsid w:val="00A23069"/>
    <w:rsid w:val="00B77323"/>
    <w:rsid w:val="00E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959D-CB35-4679-B7A4-5910E705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0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"/>
    <w:next w:val="a0"/>
    <w:link w:val="10"/>
    <w:qFormat/>
    <w:rsid w:val="00412C0B"/>
    <w:pPr>
      <w:keepLines w:val="0"/>
      <w:numPr>
        <w:numId w:val="1"/>
      </w:numPr>
      <w:spacing w:before="0" w:after="240"/>
      <w:jc w:val="both"/>
      <w:outlineLvl w:val="0"/>
    </w:pPr>
    <w:rPr>
      <w:rFonts w:ascii="Arial" w:eastAsia="Times New Roman" w:hAnsi="Arial" w:cs="Times New Roman"/>
      <w:b/>
      <w:iCs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1"/>
    <w:link w:val="1"/>
    <w:rsid w:val="00412C0B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customStyle="1" w:styleId="ABC-paragrahinNotes">
    <w:name w:val="ABC - paragrah in Notes"/>
    <w:link w:val="ABC-paragrahinNotes0"/>
    <w:qFormat/>
    <w:rsid w:val="00412C0B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"/>
    <w:qFormat/>
    <w:rsid w:val="00412C0B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"/>
    <w:rsid w:val="00412C0B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1"/>
    <w:link w:val="ABC-paragrahinNotes"/>
    <w:rsid w:val="00412C0B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412C0B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412C0B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412C0B"/>
    <w:pPr>
      <w:keepNext/>
      <w:keepLines/>
      <w:pageBreakBefore/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RRthousandsChar">
    <w:name w:val="RR thousands Char"/>
    <w:basedOn w:val="a1"/>
    <w:link w:val="RRthousands"/>
    <w:rsid w:val="00412C0B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customStyle="1" w:styleId="ABCTitle">
    <w:name w:val="ABC Title"/>
    <w:basedOn w:val="2"/>
    <w:rsid w:val="00412C0B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412C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0">
    <w:name w:val="Body Text"/>
    <w:basedOn w:val="a"/>
    <w:link w:val="a4"/>
    <w:uiPriority w:val="99"/>
    <w:semiHidden/>
    <w:unhideWhenUsed/>
    <w:rsid w:val="00412C0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12C0B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Есенхановна Смагулова</dc:creator>
  <cp:keywords/>
  <dc:description/>
  <cp:lastModifiedBy>Назгуль Есенхановна Смагулова</cp:lastModifiedBy>
  <cp:revision>1</cp:revision>
  <dcterms:created xsi:type="dcterms:W3CDTF">2022-05-06T13:17:00Z</dcterms:created>
  <dcterms:modified xsi:type="dcterms:W3CDTF">2022-05-06T13:22:00Z</dcterms:modified>
</cp:coreProperties>
</file>